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F7AE" w14:textId="77777777" w:rsidR="00EB0A97" w:rsidRDefault="00EB0A97" w:rsidP="001A1A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2C7BD2E" w14:textId="77777777" w:rsidR="001978D4" w:rsidRDefault="001978D4" w:rsidP="001A1A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3B167EC" w14:textId="77777777" w:rsidR="000D0515" w:rsidRPr="00F12FA4" w:rsidRDefault="00475A4B" w:rsidP="001A1A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Priporočila </w:t>
      </w:r>
      <w:r w:rsidR="000D0515" w:rsidRPr="00F12FA4">
        <w:rPr>
          <w:rFonts w:cstheme="minorHAnsi"/>
          <w:b/>
          <w:bCs/>
          <w:sz w:val="28"/>
          <w:szCs w:val="28"/>
        </w:rPr>
        <w:t xml:space="preserve">za cepljenje </w:t>
      </w:r>
      <w:r w:rsidR="002D1A2E">
        <w:rPr>
          <w:rFonts w:cstheme="minorHAnsi"/>
          <w:b/>
          <w:bCs/>
          <w:sz w:val="28"/>
          <w:szCs w:val="28"/>
        </w:rPr>
        <w:t xml:space="preserve">otrok </w:t>
      </w:r>
      <w:r w:rsidR="000D0515" w:rsidRPr="00F12FA4">
        <w:rPr>
          <w:rFonts w:cstheme="minorHAnsi"/>
          <w:b/>
          <w:bCs/>
          <w:sz w:val="28"/>
          <w:szCs w:val="28"/>
        </w:rPr>
        <w:t xml:space="preserve">proti </w:t>
      </w:r>
      <w:r w:rsidR="002D1A2E">
        <w:rPr>
          <w:rFonts w:cstheme="minorHAnsi"/>
          <w:b/>
          <w:bCs/>
          <w:sz w:val="28"/>
          <w:szCs w:val="28"/>
        </w:rPr>
        <w:t>noricam</w:t>
      </w:r>
    </w:p>
    <w:p w14:paraId="57ECBD3F" w14:textId="77777777" w:rsidR="001A1A21" w:rsidRPr="00F12FA4" w:rsidRDefault="001A1A21" w:rsidP="001A1A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0250509" w14:textId="77777777" w:rsidR="002B7C51" w:rsidRDefault="002B7C51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3EFA5F" w14:textId="77777777" w:rsidR="00D307EC" w:rsidRDefault="002D1A2E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 Sloveniji se</w:t>
      </w:r>
      <w:r w:rsidR="0048398A">
        <w:rPr>
          <w:rFonts w:cstheme="minorHAnsi"/>
        </w:rPr>
        <w:t xml:space="preserve"> </w:t>
      </w:r>
      <w:r w:rsidR="008943CB">
        <w:rPr>
          <w:rFonts w:cstheme="minorHAnsi"/>
        </w:rPr>
        <w:t>s</w:t>
      </w:r>
      <w:r>
        <w:rPr>
          <w:rFonts w:cstheme="minorHAnsi"/>
        </w:rPr>
        <w:t xml:space="preserve"> 1.</w:t>
      </w:r>
      <w:r w:rsidR="00D307EC">
        <w:rPr>
          <w:rFonts w:cstheme="minorHAnsi"/>
        </w:rPr>
        <w:t xml:space="preserve"> januarj</w:t>
      </w:r>
      <w:r w:rsidR="008943CB">
        <w:rPr>
          <w:rFonts w:cstheme="minorHAnsi"/>
        </w:rPr>
        <w:t>em</w:t>
      </w:r>
      <w:r w:rsidR="00D307EC">
        <w:rPr>
          <w:rFonts w:cstheme="minorHAnsi"/>
        </w:rPr>
        <w:t xml:space="preserve"> </w:t>
      </w:r>
      <w:r>
        <w:rPr>
          <w:rFonts w:cstheme="minorHAnsi"/>
        </w:rPr>
        <w:t>20</w:t>
      </w:r>
      <w:r w:rsidR="00475A4B">
        <w:rPr>
          <w:rFonts w:cstheme="minorHAnsi"/>
        </w:rPr>
        <w:t>25</w:t>
      </w:r>
      <w:r w:rsidR="008943CB">
        <w:rPr>
          <w:rFonts w:cstheme="minorHAnsi"/>
        </w:rPr>
        <w:t xml:space="preserve"> začenja</w:t>
      </w:r>
      <w:r w:rsidR="00475A4B">
        <w:rPr>
          <w:rFonts w:cstheme="minorHAnsi"/>
        </w:rPr>
        <w:t xml:space="preserve"> izvaja</w:t>
      </w:r>
      <w:r w:rsidR="008943CB">
        <w:rPr>
          <w:rFonts w:cstheme="minorHAnsi"/>
        </w:rPr>
        <w:t>nje</w:t>
      </w:r>
      <w:r w:rsidR="00475A4B">
        <w:rPr>
          <w:rFonts w:cstheme="minorHAnsi"/>
        </w:rPr>
        <w:t xml:space="preserve"> </w:t>
      </w:r>
      <w:r w:rsidR="0048398A" w:rsidRPr="0048398A">
        <w:rPr>
          <w:rFonts w:cstheme="minorHAnsi"/>
        </w:rPr>
        <w:t>priporočen</w:t>
      </w:r>
      <w:r w:rsidR="008943CB">
        <w:rPr>
          <w:rFonts w:cstheme="minorHAnsi"/>
        </w:rPr>
        <w:t>ega</w:t>
      </w:r>
      <w:r w:rsidR="0048398A">
        <w:rPr>
          <w:rFonts w:cstheme="minorHAnsi"/>
        </w:rPr>
        <w:t xml:space="preserve"> </w:t>
      </w:r>
      <w:r w:rsidR="00D307EC">
        <w:rPr>
          <w:rFonts w:cstheme="minorHAnsi"/>
        </w:rPr>
        <w:t>redn</w:t>
      </w:r>
      <w:r w:rsidR="008943CB">
        <w:rPr>
          <w:rFonts w:cstheme="minorHAnsi"/>
        </w:rPr>
        <w:t>ega</w:t>
      </w:r>
      <w:r w:rsidR="00D307EC">
        <w:rPr>
          <w:rFonts w:cstheme="minorHAnsi"/>
        </w:rPr>
        <w:t xml:space="preserve"> </w:t>
      </w:r>
      <w:r w:rsidR="0048398A">
        <w:rPr>
          <w:rFonts w:cstheme="minorHAnsi"/>
        </w:rPr>
        <w:t>c</w:t>
      </w:r>
      <w:r w:rsidR="00475A4B">
        <w:rPr>
          <w:rFonts w:cstheme="minorHAnsi"/>
        </w:rPr>
        <w:t>epljenj</w:t>
      </w:r>
      <w:r w:rsidR="008943CB">
        <w:rPr>
          <w:rFonts w:cstheme="minorHAnsi"/>
        </w:rPr>
        <w:t>a</w:t>
      </w:r>
      <w:r w:rsidR="00475A4B">
        <w:rPr>
          <w:rFonts w:cstheme="minorHAnsi"/>
        </w:rPr>
        <w:t xml:space="preserve"> otrok</w:t>
      </w:r>
      <w:r>
        <w:rPr>
          <w:rFonts w:cstheme="minorHAnsi"/>
        </w:rPr>
        <w:t xml:space="preserve"> </w:t>
      </w:r>
      <w:r w:rsidR="00475A4B">
        <w:rPr>
          <w:rFonts w:cstheme="minorHAnsi"/>
        </w:rPr>
        <w:t>(rojenih od februarja 2024 dalje)</w:t>
      </w:r>
      <w:r>
        <w:rPr>
          <w:rFonts w:cstheme="minorHAnsi"/>
        </w:rPr>
        <w:t xml:space="preserve"> proti noricam. </w:t>
      </w:r>
      <w:r w:rsidR="0048398A">
        <w:rPr>
          <w:rFonts w:cstheme="minorHAnsi"/>
        </w:rPr>
        <w:t xml:space="preserve">Cepljenje se </w:t>
      </w:r>
      <w:r w:rsidR="005C2B0B">
        <w:rPr>
          <w:rFonts w:cstheme="minorHAnsi"/>
        </w:rPr>
        <w:t xml:space="preserve">v breme obveznega zdravstvenega zavarovanja </w:t>
      </w:r>
      <w:r w:rsidR="0048398A">
        <w:rPr>
          <w:rFonts w:cstheme="minorHAnsi"/>
        </w:rPr>
        <w:t xml:space="preserve">opravi </w:t>
      </w:r>
      <w:r w:rsidR="0048398A" w:rsidRPr="005C36FC">
        <w:rPr>
          <w:rFonts w:cstheme="minorHAnsi"/>
          <w:b/>
        </w:rPr>
        <w:t>s kombiniranim cepivom proti ošpicam, mumpsu, rdečkam in noricam (OMRN)</w:t>
      </w:r>
      <w:r w:rsidR="0048398A">
        <w:rPr>
          <w:rFonts w:cstheme="minorHAnsi"/>
        </w:rPr>
        <w:t xml:space="preserve">. </w:t>
      </w:r>
    </w:p>
    <w:p w14:paraId="6617C8A7" w14:textId="77777777" w:rsidR="00D307EC" w:rsidRDefault="00D307EC" w:rsidP="00D307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Prvi odmerek</w:t>
      </w:r>
      <w:r w:rsidRPr="002D1A2E">
        <w:rPr>
          <w:rFonts w:cstheme="minorHAnsi"/>
        </w:rPr>
        <w:t xml:space="preserve"> </w:t>
      </w:r>
      <w:r>
        <w:rPr>
          <w:rFonts w:cstheme="minorHAnsi"/>
        </w:rPr>
        <w:t xml:space="preserve">cepiva prejmejo otroci </w:t>
      </w:r>
      <w:r w:rsidRPr="005C36FC">
        <w:rPr>
          <w:rFonts w:cstheme="minorHAnsi"/>
          <w:b/>
        </w:rPr>
        <w:t>med 11. in 18. mesecem starosti</w:t>
      </w:r>
      <w:r>
        <w:rPr>
          <w:rFonts w:cstheme="minorHAnsi"/>
        </w:rPr>
        <w:t>,</w:t>
      </w:r>
      <w:r w:rsidRPr="002D1A2E">
        <w:rPr>
          <w:rFonts w:cstheme="minorHAnsi"/>
        </w:rPr>
        <w:t xml:space="preserve"> </w:t>
      </w:r>
      <w:r>
        <w:rPr>
          <w:rFonts w:cstheme="minorHAnsi"/>
        </w:rPr>
        <w:t xml:space="preserve">drugi odmerek pa bodo prejeli </w:t>
      </w:r>
      <w:r w:rsidRPr="005C36FC">
        <w:rPr>
          <w:rFonts w:cstheme="minorHAnsi"/>
          <w:b/>
        </w:rPr>
        <w:t>pri treh letih starosti</w:t>
      </w:r>
      <w:r w:rsidRPr="002D1A2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B7C51">
        <w:rPr>
          <w:rFonts w:cstheme="minorHAnsi"/>
        </w:rPr>
        <w:t>Če otrok vstopi v vrtec pred dopolnjenim 11. mesecem starosti, izjemoma opravimo cepljenje že od dopolnjenih 10 mesecev starosti</w:t>
      </w:r>
      <w:r>
        <w:rPr>
          <w:rFonts w:cstheme="minorHAnsi"/>
        </w:rPr>
        <w:t xml:space="preserve"> (p</w:t>
      </w:r>
      <w:r w:rsidRPr="002B7C51">
        <w:rPr>
          <w:rFonts w:cstheme="minorHAnsi"/>
        </w:rPr>
        <w:t>onovitev cepljenja v tem primeru ni potrebna</w:t>
      </w:r>
      <w:r>
        <w:rPr>
          <w:rFonts w:cstheme="minorHAnsi"/>
        </w:rPr>
        <w:t>)</w:t>
      </w:r>
      <w:r w:rsidRPr="002B7C51">
        <w:rPr>
          <w:rFonts w:cstheme="minorHAnsi"/>
        </w:rPr>
        <w:t>.</w:t>
      </w:r>
    </w:p>
    <w:p w14:paraId="3979AD13" w14:textId="77777777" w:rsidR="00D307EC" w:rsidRDefault="00D307EC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F175CA" w14:textId="77777777" w:rsidR="00D307EC" w:rsidRDefault="00D307EC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5C36FC">
        <w:rPr>
          <w:rFonts w:cstheme="minorHAnsi"/>
        </w:rPr>
        <w:t xml:space="preserve">troci, ki imajo v anamnezi ali v </w:t>
      </w:r>
      <w:proofErr w:type="spellStart"/>
      <w:r w:rsidRPr="005C36FC">
        <w:rPr>
          <w:rFonts w:cstheme="minorHAnsi"/>
        </w:rPr>
        <w:t>družini</w:t>
      </w:r>
      <w:proofErr w:type="spellEnd"/>
      <w:r w:rsidRPr="005C36FC">
        <w:rPr>
          <w:rFonts w:cstheme="minorHAnsi"/>
        </w:rPr>
        <w:t xml:space="preserve"> (</w:t>
      </w:r>
      <w:proofErr w:type="spellStart"/>
      <w:r w:rsidRPr="005C36FC">
        <w:rPr>
          <w:rFonts w:cstheme="minorHAnsi"/>
        </w:rPr>
        <w:t>starši</w:t>
      </w:r>
      <w:proofErr w:type="spellEnd"/>
      <w:r w:rsidRPr="005C36FC">
        <w:rPr>
          <w:rFonts w:cstheme="minorHAnsi"/>
        </w:rPr>
        <w:t>, s</w:t>
      </w:r>
      <w:r>
        <w:rPr>
          <w:rFonts w:cstheme="minorHAnsi"/>
        </w:rPr>
        <w:t xml:space="preserve">orojenci) </w:t>
      </w:r>
      <w:proofErr w:type="spellStart"/>
      <w:r w:rsidRPr="00D90667">
        <w:rPr>
          <w:rFonts w:cstheme="minorHAnsi"/>
          <w:b/>
        </w:rPr>
        <w:t>vročinske</w:t>
      </w:r>
      <w:proofErr w:type="spellEnd"/>
      <w:r w:rsidRPr="00D90667">
        <w:rPr>
          <w:rFonts w:cstheme="minorHAnsi"/>
          <w:b/>
        </w:rPr>
        <w:t xml:space="preserve"> </w:t>
      </w:r>
      <w:proofErr w:type="spellStart"/>
      <w:r w:rsidRPr="00D90667">
        <w:rPr>
          <w:rFonts w:cstheme="minorHAnsi"/>
          <w:b/>
        </w:rPr>
        <w:t>krče</w:t>
      </w:r>
      <w:proofErr w:type="spellEnd"/>
      <w:r>
        <w:rPr>
          <w:rFonts w:cstheme="minorHAnsi"/>
          <w:b/>
        </w:rPr>
        <w:t>,</w:t>
      </w:r>
      <w:r w:rsidRPr="005C36FC">
        <w:rPr>
          <w:rFonts w:cstheme="minorHAnsi"/>
        </w:rPr>
        <w:t xml:space="preserve"> </w:t>
      </w:r>
      <w:r>
        <w:rPr>
          <w:rFonts w:cstheme="minorHAnsi"/>
        </w:rPr>
        <w:t>prejmejo prvi odmerek z ločenima cepivoma, in sicer z monovalentnim cepivom proti noricam in kombiniranim cepivom proti OMR</w:t>
      </w:r>
      <w:r w:rsidRPr="00BF2BCC">
        <w:rPr>
          <w:rFonts w:cstheme="minorHAnsi"/>
        </w:rPr>
        <w:t xml:space="preserve">, </w:t>
      </w:r>
      <w:r>
        <w:rPr>
          <w:rFonts w:cstheme="minorHAnsi"/>
        </w:rPr>
        <w:t xml:space="preserve">sočasno </w:t>
      </w:r>
      <w:r w:rsidRPr="00BF2BCC">
        <w:rPr>
          <w:rFonts w:cstheme="minorHAnsi"/>
        </w:rPr>
        <w:t>na dve različni mesti.</w:t>
      </w:r>
      <w:r>
        <w:rPr>
          <w:rFonts w:cstheme="minorHAnsi"/>
        </w:rPr>
        <w:t xml:space="preserve"> Razlog tega previdnostnega ukrepa izhaja iz podatkov nekaterih raziskav, v katerih  so ugotovili možnost za </w:t>
      </w:r>
      <w:r w:rsidRPr="00BD2FC2">
        <w:rPr>
          <w:rFonts w:cstheme="minorHAnsi"/>
        </w:rPr>
        <w:t>minimalno povečano tveg</w:t>
      </w:r>
      <w:r>
        <w:rPr>
          <w:rFonts w:cstheme="minorHAnsi"/>
        </w:rPr>
        <w:t>anje za vročinske krče po prvem odmerku cepiva proti OMRN</w:t>
      </w:r>
      <w:r w:rsidRPr="00BD2FC2">
        <w:rPr>
          <w:rFonts w:cstheme="minorHAnsi"/>
        </w:rPr>
        <w:t xml:space="preserve"> v starosti 12-23 mesecev v </w:t>
      </w:r>
      <w:r>
        <w:rPr>
          <w:rFonts w:cstheme="minorHAnsi"/>
        </w:rPr>
        <w:t>pr</w:t>
      </w:r>
      <w:r w:rsidR="00E765C1">
        <w:rPr>
          <w:rFonts w:cstheme="minorHAnsi"/>
        </w:rPr>
        <w:t>imerjavi z ločenim cepljenjem (1</w:t>
      </w:r>
      <w:r>
        <w:rPr>
          <w:rFonts w:cstheme="minorHAnsi"/>
        </w:rPr>
        <w:t>). Drugi odmerek ti otroci prejmejo s cepivom proti OMRN.</w:t>
      </w:r>
    </w:p>
    <w:p w14:paraId="49408F96" w14:textId="77777777" w:rsidR="005C2B0B" w:rsidRDefault="005C2B0B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D15917" w14:textId="77777777" w:rsidR="002D1A2E" w:rsidRDefault="002D1A2E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D1A2E">
        <w:rPr>
          <w:rFonts w:cstheme="minorHAnsi"/>
        </w:rPr>
        <w:t xml:space="preserve">Norice so zelo nalezljiva bolezen, </w:t>
      </w:r>
      <w:r>
        <w:rPr>
          <w:rFonts w:cstheme="minorHAnsi"/>
        </w:rPr>
        <w:t xml:space="preserve">za katero zbolevajo otroci večinoma v predšolskem obdobju. </w:t>
      </w:r>
      <w:r w:rsidRPr="002D1A2E">
        <w:rPr>
          <w:rFonts w:cstheme="minorHAnsi"/>
        </w:rPr>
        <w:t>Kljub temu, da je potek noric večinoma lahek in predvidljiv, pa se pri okoli 2</w:t>
      </w:r>
      <w:r w:rsidR="0048398A">
        <w:rPr>
          <w:rFonts w:cstheme="minorHAnsi"/>
        </w:rPr>
        <w:t xml:space="preserve"> </w:t>
      </w:r>
      <w:r w:rsidRPr="002D1A2E">
        <w:rPr>
          <w:rFonts w:cstheme="minorHAnsi"/>
        </w:rPr>
        <w:t>% bolnikov pojavijo zapleti (sekundarne bakterijske okužbe kože in mehkih tkiv, nevrološki zapleti, pljučnica, sočasno vnetje srednjega ušesa in drugi redkejši zapleti), pri 0,4 - 3,1</w:t>
      </w:r>
      <w:r w:rsidR="0048398A">
        <w:rPr>
          <w:rFonts w:cstheme="minorHAnsi"/>
        </w:rPr>
        <w:t xml:space="preserve"> </w:t>
      </w:r>
      <w:r w:rsidRPr="002D1A2E">
        <w:rPr>
          <w:rFonts w:cstheme="minorHAnsi"/>
        </w:rPr>
        <w:t>% bolnikov, ki potrebujejo bolnišnično zdravljenje, pa po podatkih ECDC ostanejo dolgotrajne posledice</w:t>
      </w:r>
      <w:r w:rsidR="00E765C1">
        <w:rPr>
          <w:rFonts w:cstheme="minorHAnsi"/>
        </w:rPr>
        <w:t xml:space="preserve"> (2, 3</w:t>
      </w:r>
      <w:r>
        <w:rPr>
          <w:rFonts w:cstheme="minorHAnsi"/>
        </w:rPr>
        <w:t>)</w:t>
      </w:r>
      <w:r w:rsidRPr="002D1A2E">
        <w:rPr>
          <w:rFonts w:cstheme="minorHAnsi"/>
        </w:rPr>
        <w:t xml:space="preserve">. </w:t>
      </w:r>
      <w:r>
        <w:rPr>
          <w:rFonts w:cstheme="minorHAnsi"/>
        </w:rPr>
        <w:t>Čeprav imajo v</w:t>
      </w:r>
      <w:r w:rsidRPr="002D1A2E">
        <w:rPr>
          <w:rFonts w:cstheme="minorHAnsi"/>
        </w:rPr>
        <w:t>ečje tveganje za težji potek bolezni in zaplete novorojenčki, odrasli, nosečnice in bolniki z okrnjeno imunostjo, pa zaradi pogostosti pojavljanja največje število zapletov zabeležimo ravno pri otrocih, ki so sicer zdravi in nimajo pridruženih kroničnih bolezni</w:t>
      </w:r>
      <w:r w:rsidR="00E765C1">
        <w:rPr>
          <w:rFonts w:cstheme="minorHAnsi"/>
        </w:rPr>
        <w:t xml:space="preserve"> (2, 4</w:t>
      </w:r>
      <w:r w:rsidR="005C36FC">
        <w:rPr>
          <w:rFonts w:cstheme="minorHAnsi"/>
        </w:rPr>
        <w:t>)</w:t>
      </w:r>
      <w:r w:rsidRPr="002D1A2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D1A2E">
        <w:rPr>
          <w:rFonts w:cstheme="minorHAnsi"/>
        </w:rPr>
        <w:t xml:space="preserve">Prebolela bolezen zapušča trajno imunost, virus </w:t>
      </w:r>
      <w:proofErr w:type="spellStart"/>
      <w:r>
        <w:rPr>
          <w:rFonts w:cstheme="minorHAnsi"/>
        </w:rPr>
        <w:t>varičele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zostra</w:t>
      </w:r>
      <w:proofErr w:type="spellEnd"/>
      <w:r>
        <w:rPr>
          <w:rFonts w:cstheme="minorHAnsi"/>
        </w:rPr>
        <w:t xml:space="preserve"> pa </w:t>
      </w:r>
      <w:r w:rsidRPr="002D1A2E">
        <w:rPr>
          <w:rFonts w:cstheme="minorHAnsi"/>
        </w:rPr>
        <w:t xml:space="preserve">ostane v telesu in se lahko aktivira kasneje ter povzroči pasovec oz. herpes </w:t>
      </w:r>
      <w:proofErr w:type="spellStart"/>
      <w:r w:rsidRPr="002D1A2E">
        <w:rPr>
          <w:rFonts w:cstheme="minorHAnsi"/>
        </w:rPr>
        <w:t>zoster</w:t>
      </w:r>
      <w:proofErr w:type="spellEnd"/>
      <w:r w:rsidRPr="002D1A2E">
        <w:rPr>
          <w:rFonts w:cstheme="minorHAnsi"/>
        </w:rPr>
        <w:t xml:space="preserve"> (pri okoli 15% oseb, ki so prebolele norice)</w:t>
      </w:r>
      <w:r w:rsidR="00E765C1">
        <w:rPr>
          <w:rFonts w:cstheme="minorHAnsi"/>
        </w:rPr>
        <w:t xml:space="preserve"> (5</w:t>
      </w:r>
      <w:r w:rsidR="00D33371">
        <w:rPr>
          <w:rFonts w:cstheme="minorHAnsi"/>
        </w:rPr>
        <w:t>).</w:t>
      </w:r>
    </w:p>
    <w:p w14:paraId="16539AE7" w14:textId="77777777" w:rsidR="00853C73" w:rsidRDefault="00853C73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6A57B4" w14:textId="77777777" w:rsidR="00C216D7" w:rsidRDefault="00C216D7" w:rsidP="00D333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 primeru, da je otrok</w:t>
      </w:r>
      <w:r w:rsidR="00A34A2B">
        <w:rPr>
          <w:rFonts w:cstheme="minorHAnsi"/>
        </w:rPr>
        <w:t xml:space="preserve"> že</w:t>
      </w:r>
      <w:r>
        <w:rPr>
          <w:rFonts w:cstheme="minorHAnsi"/>
        </w:rPr>
        <w:t xml:space="preserve"> </w:t>
      </w:r>
      <w:r w:rsidRPr="00D90667">
        <w:rPr>
          <w:rFonts w:cstheme="minorHAnsi"/>
          <w:b/>
        </w:rPr>
        <w:t>prebolel norice</w:t>
      </w:r>
      <w:r>
        <w:rPr>
          <w:rFonts w:cstheme="minorHAnsi"/>
        </w:rPr>
        <w:t>, cepljenje proti noricam ni potrebno. V t</w:t>
      </w:r>
      <w:r w:rsidR="00A34A2B">
        <w:rPr>
          <w:rFonts w:cstheme="minorHAnsi"/>
        </w:rPr>
        <w:t>em</w:t>
      </w:r>
      <w:r>
        <w:rPr>
          <w:rFonts w:cstheme="minorHAnsi"/>
        </w:rPr>
        <w:t xml:space="preserve"> primeru </w:t>
      </w:r>
      <w:r w:rsidR="00A34A2B">
        <w:rPr>
          <w:rFonts w:cstheme="minorHAnsi"/>
        </w:rPr>
        <w:t>naj bo</w:t>
      </w:r>
      <w:r w:rsidR="00475A4B">
        <w:rPr>
          <w:rFonts w:cstheme="minorHAnsi"/>
        </w:rPr>
        <w:t xml:space="preserve"> otrok cepljen le</w:t>
      </w:r>
      <w:r>
        <w:rPr>
          <w:rFonts w:cstheme="minorHAnsi"/>
        </w:rPr>
        <w:t xml:space="preserve"> proti OMR.</w:t>
      </w:r>
    </w:p>
    <w:p w14:paraId="2AB34851" w14:textId="77777777" w:rsidR="002B7C51" w:rsidRDefault="002B7C51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AEA208C" w14:textId="77777777" w:rsidR="00DD3589" w:rsidRDefault="00DD3589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31102">
        <w:rPr>
          <w:rFonts w:cstheme="minorHAnsi"/>
          <w:b/>
        </w:rPr>
        <w:t>Kontraindikacije za cepljenje</w:t>
      </w:r>
      <w:r w:rsidR="00331102">
        <w:rPr>
          <w:rFonts w:cstheme="minorHAnsi"/>
          <w:b/>
        </w:rPr>
        <w:t xml:space="preserve"> proti noricam</w:t>
      </w:r>
      <w:r w:rsidRPr="00331102">
        <w:rPr>
          <w:rFonts w:cstheme="minorHAnsi"/>
          <w:b/>
        </w:rPr>
        <w:t>:</w:t>
      </w:r>
    </w:p>
    <w:p w14:paraId="42EF5B86" w14:textId="77777777" w:rsidR="00331102" w:rsidRPr="00331102" w:rsidRDefault="00331102" w:rsidP="0033110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331102">
        <w:rPr>
          <w:rFonts w:cstheme="minorHAnsi"/>
        </w:rPr>
        <w:t xml:space="preserve">huda alergijska reakcija </w:t>
      </w:r>
      <w:r>
        <w:rPr>
          <w:rFonts w:cstheme="minorHAnsi"/>
        </w:rPr>
        <w:t>na katerokoli sestavino cepiva,</w:t>
      </w:r>
    </w:p>
    <w:p w14:paraId="7396F426" w14:textId="77777777" w:rsidR="00331102" w:rsidRDefault="00331102" w:rsidP="0033110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331102">
        <w:rPr>
          <w:rFonts w:cstheme="minorHAnsi"/>
        </w:rPr>
        <w:t>huda alergijska reakcija ali drug resen neželen učinek po predh</w:t>
      </w:r>
      <w:r>
        <w:rPr>
          <w:rFonts w:cstheme="minorHAnsi"/>
        </w:rPr>
        <w:t>odnem odmerku istega cepiva,</w:t>
      </w:r>
    </w:p>
    <w:p w14:paraId="01215928" w14:textId="77777777" w:rsidR="00331102" w:rsidRDefault="00331102" w:rsidP="0033110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okrnjena imunost,</w:t>
      </w:r>
    </w:p>
    <w:p w14:paraId="7766170A" w14:textId="77777777" w:rsidR="00331102" w:rsidRPr="00331102" w:rsidRDefault="00331102" w:rsidP="00331102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a</w:t>
      </w:r>
      <w:r w:rsidRPr="00331102">
        <w:rPr>
          <w:rFonts w:cstheme="minorHAnsi"/>
        </w:rPr>
        <w:t>ktivna nezdravljena tuberkuloza.</w:t>
      </w:r>
    </w:p>
    <w:p w14:paraId="228ECDBA" w14:textId="77777777" w:rsidR="00331102" w:rsidRPr="00331102" w:rsidRDefault="00331102" w:rsidP="003311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1102">
        <w:rPr>
          <w:rFonts w:cstheme="minorHAnsi"/>
        </w:rPr>
        <w:t>V primeru akutne vročinske bolezni je cepljenje potrebno odložiti.</w:t>
      </w:r>
    </w:p>
    <w:p w14:paraId="5B771795" w14:textId="77777777" w:rsidR="002B7C51" w:rsidRDefault="002B7C51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2D0A61E" w14:textId="77777777" w:rsidR="00DD3589" w:rsidRPr="009E3336" w:rsidRDefault="009E3336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E3336">
        <w:rPr>
          <w:rFonts w:cstheme="minorHAnsi"/>
          <w:b/>
        </w:rPr>
        <w:t xml:space="preserve">Učinkovitost </w:t>
      </w:r>
      <w:r>
        <w:rPr>
          <w:rFonts w:cstheme="minorHAnsi"/>
          <w:b/>
        </w:rPr>
        <w:t xml:space="preserve">in varnost </w:t>
      </w:r>
      <w:r w:rsidR="00751E8A">
        <w:rPr>
          <w:rFonts w:cstheme="minorHAnsi"/>
          <w:b/>
        </w:rPr>
        <w:t>cepljenja</w:t>
      </w:r>
      <w:r w:rsidRPr="009E3336">
        <w:rPr>
          <w:rFonts w:cstheme="minorHAnsi"/>
          <w:b/>
        </w:rPr>
        <w:t xml:space="preserve"> proti noricam</w:t>
      </w:r>
    </w:p>
    <w:p w14:paraId="19819176" w14:textId="77777777" w:rsidR="009E3336" w:rsidRDefault="009E3336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 cepljenju s štirivalentnim cepivom proti ošpicam, mumpsu, rdečkam in noricam so izmerili zaščitni nivo protiteles</w:t>
      </w:r>
      <w:r w:rsidR="00751E8A">
        <w:rPr>
          <w:rFonts w:cstheme="minorHAnsi"/>
        </w:rPr>
        <w:t xml:space="preserve"> proti noricam</w:t>
      </w:r>
      <w:r>
        <w:rPr>
          <w:rFonts w:cstheme="minorHAnsi"/>
        </w:rPr>
        <w:t xml:space="preserve"> pri 93</w:t>
      </w:r>
      <w:r w:rsidR="005C2B0B">
        <w:rPr>
          <w:rFonts w:cstheme="minorHAnsi"/>
        </w:rPr>
        <w:t xml:space="preserve"> </w:t>
      </w:r>
      <w:r>
        <w:rPr>
          <w:rFonts w:cstheme="minorHAnsi"/>
        </w:rPr>
        <w:t>% do 97</w:t>
      </w:r>
      <w:r w:rsidR="005C2B0B">
        <w:rPr>
          <w:rFonts w:cstheme="minorHAnsi"/>
        </w:rPr>
        <w:t xml:space="preserve"> </w:t>
      </w:r>
      <w:r>
        <w:rPr>
          <w:rFonts w:cstheme="minorHAnsi"/>
        </w:rPr>
        <w:t xml:space="preserve">% otrok </w:t>
      </w:r>
      <w:r w:rsidR="00652B20">
        <w:rPr>
          <w:rFonts w:cstheme="minorHAnsi"/>
        </w:rPr>
        <w:t xml:space="preserve">6 tednov </w:t>
      </w:r>
      <w:r>
        <w:rPr>
          <w:rFonts w:cstheme="minorHAnsi"/>
        </w:rPr>
        <w:t>po prvem odmerku, po drugem odmerku pa pri 100</w:t>
      </w:r>
      <w:r w:rsidR="005C2B0B">
        <w:rPr>
          <w:rFonts w:cstheme="minorHAnsi"/>
        </w:rPr>
        <w:t xml:space="preserve"> </w:t>
      </w:r>
      <w:r>
        <w:rPr>
          <w:rFonts w:cstheme="minorHAnsi"/>
        </w:rPr>
        <w:t>% otrok</w:t>
      </w:r>
      <w:r w:rsidR="00652B20">
        <w:rPr>
          <w:rFonts w:cstheme="minorHAnsi"/>
        </w:rPr>
        <w:t xml:space="preserve"> (6)</w:t>
      </w:r>
      <w:r>
        <w:rPr>
          <w:rFonts w:cstheme="minorHAnsi"/>
        </w:rPr>
        <w:t>.</w:t>
      </w:r>
    </w:p>
    <w:p w14:paraId="1AB61711" w14:textId="77777777" w:rsidR="007F3E4C" w:rsidRDefault="00BD2FC2" w:rsidP="00D624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2FC2">
        <w:rPr>
          <w:rFonts w:cstheme="minorHAnsi"/>
        </w:rPr>
        <w:t xml:space="preserve">Učinkovitost cepljenja </w:t>
      </w:r>
      <w:r w:rsidR="005C2B0B">
        <w:rPr>
          <w:rFonts w:cstheme="minorHAnsi"/>
        </w:rPr>
        <w:t xml:space="preserve">se kaže v </w:t>
      </w:r>
      <w:r w:rsidRPr="00BD2FC2">
        <w:rPr>
          <w:rFonts w:cstheme="minorHAnsi"/>
        </w:rPr>
        <w:t>upad</w:t>
      </w:r>
      <w:r w:rsidR="005C2B0B">
        <w:rPr>
          <w:rFonts w:cstheme="minorHAnsi"/>
        </w:rPr>
        <w:t>u</w:t>
      </w:r>
      <w:r w:rsidRPr="00BD2FC2">
        <w:rPr>
          <w:rFonts w:cstheme="minorHAnsi"/>
        </w:rPr>
        <w:t xml:space="preserve"> pojavnosti noric, zapletov, hospitalizacij ter smrti zaradi noric. Podatki kažejo tudi na zmanjšano pojavnost pasovca pri cepljenih osebah v primerjavi z necepljenimi.</w:t>
      </w:r>
      <w:r w:rsidR="00140FE3">
        <w:rPr>
          <w:rFonts w:cstheme="minorHAnsi"/>
        </w:rPr>
        <w:t xml:space="preserve"> </w:t>
      </w:r>
      <w:r w:rsidR="00B937CE">
        <w:rPr>
          <w:rFonts w:cstheme="minorHAnsi"/>
        </w:rPr>
        <w:t xml:space="preserve">Po cepljenju z dvema odmerkoma cepiva bo večina oseb zaščitenih proti noricam </w:t>
      </w:r>
      <w:r w:rsidR="005B70A5">
        <w:rPr>
          <w:rFonts w:cstheme="minorHAnsi"/>
        </w:rPr>
        <w:t>predvidoma doživljenjsko</w:t>
      </w:r>
      <w:r w:rsidR="00281A7D">
        <w:rPr>
          <w:rFonts w:cstheme="minorHAnsi"/>
        </w:rPr>
        <w:t xml:space="preserve"> (7)</w:t>
      </w:r>
      <w:r w:rsidR="005B70A5">
        <w:rPr>
          <w:rFonts w:cstheme="minorHAnsi"/>
        </w:rPr>
        <w:t xml:space="preserve">. </w:t>
      </w:r>
    </w:p>
    <w:p w14:paraId="569F9E52" w14:textId="77777777" w:rsidR="00331102" w:rsidRDefault="00331102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89A401" w14:textId="77777777" w:rsidR="00015F21" w:rsidRDefault="00BD2FC2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2FC2">
        <w:rPr>
          <w:rFonts w:cstheme="minorHAnsi"/>
        </w:rPr>
        <w:lastRenderedPageBreak/>
        <w:t xml:space="preserve">Najpogostejši </w:t>
      </w:r>
      <w:r w:rsidRPr="00331102">
        <w:rPr>
          <w:rFonts w:cstheme="minorHAnsi"/>
          <w:b/>
        </w:rPr>
        <w:t>neželeni učinki</w:t>
      </w:r>
      <w:r w:rsidRPr="00BD2FC2">
        <w:rPr>
          <w:rFonts w:cstheme="minorHAnsi"/>
        </w:rPr>
        <w:t>, ki so jih zabeležili po cepljenju proti noricam, so lokalne reakcije na mestu cepljenja (bolečina, rdečina in oteklina), zvišana telesna temperatura, razdražljivost, izpuščaj, okužba zgornjih dihal ter bruhanje in driska</w:t>
      </w:r>
      <w:r w:rsidR="00AB1073">
        <w:rPr>
          <w:rFonts w:cstheme="minorHAnsi"/>
        </w:rPr>
        <w:t xml:space="preserve"> (6)</w:t>
      </w:r>
      <w:r w:rsidRPr="00BD2FC2">
        <w:rPr>
          <w:rFonts w:cstheme="minorHAnsi"/>
        </w:rPr>
        <w:t xml:space="preserve">. </w:t>
      </w:r>
    </w:p>
    <w:p w14:paraId="6F6589A3" w14:textId="77777777" w:rsidR="00C82A3A" w:rsidRDefault="004D5199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4D5199">
        <w:rPr>
          <w:rFonts w:cstheme="minorHAnsi"/>
        </w:rPr>
        <w:t>bstaja možnost, da se cepilni virus noric v redkih primerih prenese na osebe, ki so bile v stiku s</w:t>
      </w:r>
      <w:r w:rsidR="00015F21">
        <w:rPr>
          <w:rFonts w:cstheme="minorHAnsi"/>
        </w:rPr>
        <w:t xml:space="preserve"> cepljeno osebo.</w:t>
      </w:r>
      <w:r>
        <w:rPr>
          <w:rFonts w:cstheme="minorHAnsi"/>
        </w:rPr>
        <w:t xml:space="preserve"> </w:t>
      </w:r>
      <w:r w:rsidR="00844515">
        <w:rPr>
          <w:rFonts w:cstheme="minorHAnsi"/>
        </w:rPr>
        <w:t>Kljub</w:t>
      </w:r>
      <w:r w:rsidR="00751E8A">
        <w:rPr>
          <w:rFonts w:cstheme="minorHAnsi"/>
        </w:rPr>
        <w:t xml:space="preserve"> temu</w:t>
      </w:r>
      <w:r w:rsidR="00844515">
        <w:rPr>
          <w:rFonts w:cstheme="minorHAnsi"/>
        </w:rPr>
        <w:t xml:space="preserve"> je cepljenje proti noricam</w:t>
      </w:r>
      <w:r w:rsidR="00844515" w:rsidRPr="00844515">
        <w:rPr>
          <w:rFonts w:cstheme="minorHAnsi"/>
        </w:rPr>
        <w:t xml:space="preserve"> priporočljivo </w:t>
      </w:r>
      <w:r w:rsidR="00331102">
        <w:rPr>
          <w:rFonts w:cstheme="minorHAnsi"/>
        </w:rPr>
        <w:t xml:space="preserve">tudi </w:t>
      </w:r>
      <w:r w:rsidR="00844515" w:rsidRPr="00844515">
        <w:rPr>
          <w:rFonts w:cstheme="minorHAnsi"/>
        </w:rPr>
        <w:t>za otroke, katerih družinski člani imajo bolezenska stanja z okrnjeno imunostjo</w:t>
      </w:r>
      <w:r w:rsidR="00844515">
        <w:rPr>
          <w:rFonts w:cstheme="minorHAnsi"/>
        </w:rPr>
        <w:t xml:space="preserve"> (tveganje, da bo necepljen otrok zbolel za noricami in prenesel okužbo na družinskega člana je mnogo večje od tveganja za prenos cepilnega seva). V primeru pojava izpuščaja pri cepljene</w:t>
      </w:r>
      <w:r w:rsidR="00331102">
        <w:rPr>
          <w:rFonts w:cstheme="minorHAnsi"/>
        </w:rPr>
        <w:t>m otroku, se svetuje izogibanje stikom z ranljivimi osebami dokler izpuščaj ne izzveni.</w:t>
      </w:r>
    </w:p>
    <w:p w14:paraId="255E12CD" w14:textId="77777777" w:rsidR="00331102" w:rsidRDefault="00331102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03FB32" w14:textId="77777777" w:rsidR="00331102" w:rsidRDefault="00331102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1102">
        <w:rPr>
          <w:rFonts w:cstheme="minorHAnsi"/>
        </w:rPr>
        <w:t xml:space="preserve">Po cepljenju </w:t>
      </w:r>
      <w:r>
        <w:rPr>
          <w:rFonts w:cstheme="minorHAnsi"/>
        </w:rPr>
        <w:t xml:space="preserve">proti noricam </w:t>
      </w:r>
      <w:r w:rsidRPr="00331102">
        <w:rPr>
          <w:rFonts w:cstheme="minorHAnsi"/>
        </w:rPr>
        <w:t xml:space="preserve">so poročali o posameznih primerih herpes </w:t>
      </w:r>
      <w:proofErr w:type="spellStart"/>
      <w:r w:rsidRPr="00331102">
        <w:rPr>
          <w:rFonts w:cstheme="minorHAnsi"/>
        </w:rPr>
        <w:t>zostra</w:t>
      </w:r>
      <w:proofErr w:type="spellEnd"/>
      <w:r w:rsidRPr="00331102">
        <w:rPr>
          <w:rFonts w:cstheme="minorHAnsi"/>
        </w:rPr>
        <w:t xml:space="preserve"> pri cepljenih osebah, vendar</w:t>
      </w:r>
      <w:r w:rsidR="00D90667">
        <w:rPr>
          <w:rFonts w:cstheme="minorHAnsi"/>
        </w:rPr>
        <w:t xml:space="preserve"> podatki kažejo, da imajo osebe, ki so bile cepljene</w:t>
      </w:r>
      <w:r w:rsidRPr="00331102">
        <w:rPr>
          <w:rFonts w:cstheme="minorHAnsi"/>
        </w:rPr>
        <w:t xml:space="preserve"> s cepivom proti noricam, manjše tveganje za herpes </w:t>
      </w:r>
      <w:proofErr w:type="spellStart"/>
      <w:r w:rsidRPr="00331102">
        <w:rPr>
          <w:rFonts w:cstheme="minorHAnsi"/>
        </w:rPr>
        <w:t>zoster</w:t>
      </w:r>
      <w:proofErr w:type="spellEnd"/>
      <w:r w:rsidR="00D90667">
        <w:rPr>
          <w:rFonts w:cstheme="minorHAnsi"/>
        </w:rPr>
        <w:t>, kot necepljene</w:t>
      </w:r>
      <w:r w:rsidR="00AB1073">
        <w:rPr>
          <w:rFonts w:cstheme="minorHAnsi"/>
        </w:rPr>
        <w:t xml:space="preserve"> (6)</w:t>
      </w:r>
      <w:r w:rsidRPr="00331102">
        <w:rPr>
          <w:rFonts w:cstheme="minorHAnsi"/>
        </w:rPr>
        <w:t>.</w:t>
      </w:r>
    </w:p>
    <w:p w14:paraId="24C873E6" w14:textId="77777777" w:rsidR="00331102" w:rsidRDefault="00331102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130404" w14:textId="77777777" w:rsidR="002B7C51" w:rsidRDefault="002B7C51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8DCF8B" w14:textId="77777777" w:rsidR="00BD2FC2" w:rsidRPr="002D1A2E" w:rsidRDefault="00BD2FC2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 skladu s priporočili Svetovne zdravstvene organizacije je </w:t>
      </w:r>
      <w:r w:rsidRPr="00331102">
        <w:rPr>
          <w:rFonts w:cstheme="minorHAnsi"/>
          <w:b/>
        </w:rPr>
        <w:t>izjemno pomembno, da se doseže in vzdržuje visoka, tj. vsaj 80 % precepljenost proti noricam</w:t>
      </w:r>
      <w:r>
        <w:rPr>
          <w:rFonts w:cstheme="minorHAnsi"/>
        </w:rPr>
        <w:t xml:space="preserve">. V nasprotnem primeru namreč obstaja teoretično tveganje, da bi se </w:t>
      </w:r>
      <w:r w:rsidRPr="00D33371">
        <w:rPr>
          <w:rFonts w:cstheme="minorHAnsi"/>
        </w:rPr>
        <w:t xml:space="preserve">pojavljanje bolezni </w:t>
      </w:r>
      <w:r>
        <w:rPr>
          <w:rFonts w:cstheme="minorHAnsi"/>
        </w:rPr>
        <w:t xml:space="preserve">premaknilo </w:t>
      </w:r>
      <w:r w:rsidRPr="00D33371">
        <w:rPr>
          <w:rFonts w:cstheme="minorHAnsi"/>
        </w:rPr>
        <w:t>v sta</w:t>
      </w:r>
      <w:r>
        <w:rPr>
          <w:rFonts w:cstheme="minorHAnsi"/>
        </w:rPr>
        <w:t xml:space="preserve">rejše starostne skupine, pri katerih bolezen </w:t>
      </w:r>
      <w:r w:rsidR="00281A7D">
        <w:rPr>
          <w:rFonts w:cstheme="minorHAnsi"/>
        </w:rPr>
        <w:t>poteka težje in z več zapleti (8</w:t>
      </w:r>
      <w:r>
        <w:rPr>
          <w:rFonts w:cstheme="minorHAnsi"/>
        </w:rPr>
        <w:t>).</w:t>
      </w:r>
    </w:p>
    <w:p w14:paraId="405FC2EA" w14:textId="77777777" w:rsidR="00F42D62" w:rsidRDefault="00F42D62" w:rsidP="00C216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4C5666C" w14:textId="77777777" w:rsidR="00A34A2B" w:rsidRDefault="00A34A2B" w:rsidP="00C216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3F707CB" w14:textId="77777777" w:rsidR="00BD2FC2" w:rsidRDefault="00BD2FC2" w:rsidP="00C216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2FC2">
        <w:rPr>
          <w:rFonts w:cstheme="minorHAnsi"/>
          <w:b/>
          <w:sz w:val="24"/>
          <w:szCs w:val="24"/>
        </w:rPr>
        <w:t>Cepljenje proti noricam za starejše otroke</w:t>
      </w:r>
      <w:r w:rsidR="0048398A">
        <w:rPr>
          <w:rFonts w:cstheme="minorHAnsi"/>
          <w:b/>
          <w:sz w:val="24"/>
          <w:szCs w:val="24"/>
        </w:rPr>
        <w:t xml:space="preserve"> </w:t>
      </w:r>
    </w:p>
    <w:p w14:paraId="06F29FF6" w14:textId="77777777" w:rsidR="0048398A" w:rsidRDefault="00C216D7" w:rsidP="004839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D1A2E">
        <w:rPr>
          <w:rFonts w:cstheme="minorHAnsi"/>
        </w:rPr>
        <w:t xml:space="preserve">Cepljenje proti noricam je </w:t>
      </w:r>
      <w:r w:rsidR="00916C41">
        <w:rPr>
          <w:rFonts w:cstheme="minorHAnsi"/>
        </w:rPr>
        <w:t xml:space="preserve">v skladu s Programom cepljenja </w:t>
      </w:r>
      <w:r w:rsidRPr="002D1A2E">
        <w:rPr>
          <w:rFonts w:cstheme="minorHAnsi"/>
        </w:rPr>
        <w:t xml:space="preserve">posebej priporočljivo </w:t>
      </w:r>
      <w:r w:rsidRPr="002863CB">
        <w:rPr>
          <w:rFonts w:cstheme="minorHAnsi"/>
        </w:rPr>
        <w:t>tudi za starejše otroke</w:t>
      </w:r>
      <w:r w:rsidRPr="002D1A2E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2D1A2E">
        <w:rPr>
          <w:rFonts w:cstheme="minorHAnsi"/>
        </w:rPr>
        <w:t>ki še niso preboleli noric, so pa v remisiji akutne levkemije ali so pri njih indicirani visoki</w:t>
      </w:r>
      <w:r>
        <w:rPr>
          <w:rFonts w:cstheme="minorHAnsi"/>
        </w:rPr>
        <w:t xml:space="preserve"> </w:t>
      </w:r>
      <w:r w:rsidRPr="002D1A2E">
        <w:rPr>
          <w:rFonts w:cstheme="minorHAnsi"/>
        </w:rPr>
        <w:t>odmerki kortikosteroidov ali imunosupresivnih zdravil zaradi bolezni ledvic, težke astme ali</w:t>
      </w:r>
      <w:r>
        <w:rPr>
          <w:rFonts w:cstheme="minorHAnsi"/>
        </w:rPr>
        <w:t xml:space="preserve"> </w:t>
      </w:r>
      <w:r w:rsidRPr="002D1A2E">
        <w:rPr>
          <w:rFonts w:cstheme="minorHAnsi"/>
        </w:rPr>
        <w:t>drugih bolezni ali pred presaditvijo organov ter po presaditvi krvotvornih matičnih celic.</w:t>
      </w:r>
      <w:r w:rsidR="0048398A">
        <w:rPr>
          <w:rFonts w:cstheme="minorHAnsi"/>
        </w:rPr>
        <w:t xml:space="preserve"> </w:t>
      </w:r>
      <w:r w:rsidRPr="002D1A2E">
        <w:rPr>
          <w:rFonts w:cstheme="minorHAnsi"/>
        </w:rPr>
        <w:t>Cepljenje je priporočljivo tudi za otroke, katerih družinski člani imajo bolezenska stanja z</w:t>
      </w:r>
      <w:r>
        <w:rPr>
          <w:rFonts w:cstheme="minorHAnsi"/>
        </w:rPr>
        <w:t xml:space="preserve"> </w:t>
      </w:r>
      <w:r w:rsidRPr="002D1A2E">
        <w:rPr>
          <w:rFonts w:cstheme="minorHAnsi"/>
        </w:rPr>
        <w:t>okrnjeno imunostjo. Indikacijo za cepljenje in optimalen čas cepljenja v teh primerih postavi</w:t>
      </w:r>
      <w:r>
        <w:rPr>
          <w:rFonts w:cstheme="minorHAnsi"/>
        </w:rPr>
        <w:t xml:space="preserve"> </w:t>
      </w:r>
      <w:r w:rsidRPr="002D1A2E">
        <w:rPr>
          <w:rFonts w:cstheme="minorHAnsi"/>
        </w:rPr>
        <w:t xml:space="preserve">zdravnik ustrezne specialnosti. </w:t>
      </w:r>
      <w:r w:rsidR="0048398A">
        <w:rPr>
          <w:rFonts w:cstheme="minorHAnsi"/>
        </w:rPr>
        <w:t xml:space="preserve">Cepljenje se v teh primerih </w:t>
      </w:r>
      <w:r w:rsidR="0048398A" w:rsidRPr="002D1A2E">
        <w:rPr>
          <w:rFonts w:cstheme="minorHAnsi"/>
        </w:rPr>
        <w:t>plača iz sredstev obvez</w:t>
      </w:r>
      <w:r w:rsidR="0048398A">
        <w:rPr>
          <w:rFonts w:cstheme="minorHAnsi"/>
        </w:rPr>
        <w:t>nega zdravstvenega zavarovanja.</w:t>
      </w:r>
    </w:p>
    <w:p w14:paraId="24EF5019" w14:textId="77777777" w:rsidR="0048398A" w:rsidRDefault="0048398A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E09D9C" w14:textId="77777777" w:rsidR="00C216D7" w:rsidRDefault="00C216D7" w:rsidP="00BD2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D1A2E">
        <w:rPr>
          <w:rFonts w:cstheme="minorHAnsi"/>
        </w:rPr>
        <w:t xml:space="preserve">Cepljenje je priporočljivo tudi za vse </w:t>
      </w:r>
      <w:r w:rsidR="00916C41">
        <w:rPr>
          <w:rFonts w:cstheme="minorHAnsi"/>
        </w:rPr>
        <w:t>ostale otroke</w:t>
      </w:r>
      <w:r w:rsidRPr="002D1A2E">
        <w:rPr>
          <w:rFonts w:cstheme="minorHAnsi"/>
        </w:rPr>
        <w:t>, ki še niso preboleli noric. Cepljenje se opravi z dvema odmerkoma cepiva v</w:t>
      </w:r>
      <w:r>
        <w:rPr>
          <w:rFonts w:cstheme="minorHAnsi"/>
        </w:rPr>
        <w:t xml:space="preserve"> </w:t>
      </w:r>
      <w:r w:rsidRPr="002D1A2E">
        <w:rPr>
          <w:rFonts w:cstheme="minorHAnsi"/>
        </w:rPr>
        <w:t>razmaku 6 tednov</w:t>
      </w:r>
      <w:r w:rsidR="00916C41">
        <w:rPr>
          <w:rFonts w:cstheme="minorHAnsi"/>
        </w:rPr>
        <w:t xml:space="preserve"> ali več (ne manj </w:t>
      </w:r>
      <w:r w:rsidR="0048398A">
        <w:rPr>
          <w:rFonts w:cstheme="minorHAnsi"/>
        </w:rPr>
        <w:t>kot 4 tedne). Cepljenje je v teh primerih samoplačniško.</w:t>
      </w:r>
    </w:p>
    <w:p w14:paraId="430B2AEF" w14:textId="77777777" w:rsidR="002D1A2E" w:rsidRDefault="002D1A2E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7AF4AF" w14:textId="77777777" w:rsidR="002D1A2E" w:rsidRDefault="002D1A2E" w:rsidP="002D1A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099997" w14:textId="77777777" w:rsidR="00E765C1" w:rsidRPr="002B7C51" w:rsidRDefault="00E765C1" w:rsidP="00E765C1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B7C51">
        <w:rPr>
          <w:rFonts w:cstheme="minorHAnsi"/>
          <w:sz w:val="20"/>
          <w:szCs w:val="20"/>
        </w:rPr>
        <w:t xml:space="preserve">CDC. Use </w:t>
      </w:r>
      <w:proofErr w:type="spellStart"/>
      <w:r w:rsidRPr="002B7C51">
        <w:rPr>
          <w:rFonts w:cstheme="minorHAnsi"/>
          <w:sz w:val="20"/>
          <w:szCs w:val="20"/>
        </w:rPr>
        <w:t>of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combination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measles</w:t>
      </w:r>
      <w:proofErr w:type="spellEnd"/>
      <w:r w:rsidRPr="002B7C51">
        <w:rPr>
          <w:rFonts w:cstheme="minorHAnsi"/>
          <w:sz w:val="20"/>
          <w:szCs w:val="20"/>
        </w:rPr>
        <w:t xml:space="preserve">, mumps, </w:t>
      </w:r>
      <w:proofErr w:type="spellStart"/>
      <w:r w:rsidRPr="002B7C51">
        <w:rPr>
          <w:rFonts w:cstheme="minorHAnsi"/>
          <w:sz w:val="20"/>
          <w:szCs w:val="20"/>
        </w:rPr>
        <w:t>rubella</w:t>
      </w:r>
      <w:proofErr w:type="spellEnd"/>
      <w:r w:rsidRPr="002B7C51">
        <w:rPr>
          <w:rFonts w:cstheme="minorHAnsi"/>
          <w:sz w:val="20"/>
          <w:szCs w:val="20"/>
        </w:rPr>
        <w:t xml:space="preserve">, </w:t>
      </w:r>
      <w:proofErr w:type="spellStart"/>
      <w:r w:rsidRPr="002B7C51">
        <w:rPr>
          <w:rFonts w:cstheme="minorHAnsi"/>
          <w:sz w:val="20"/>
          <w:szCs w:val="20"/>
        </w:rPr>
        <w:t>and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varicella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vaccine</w:t>
      </w:r>
      <w:proofErr w:type="spellEnd"/>
      <w:r w:rsidRPr="002B7C51">
        <w:rPr>
          <w:rFonts w:cstheme="minorHAnsi"/>
          <w:sz w:val="20"/>
          <w:szCs w:val="20"/>
        </w:rPr>
        <w:t xml:space="preserve">. </w:t>
      </w:r>
      <w:proofErr w:type="spellStart"/>
      <w:r w:rsidRPr="002B7C51">
        <w:rPr>
          <w:rFonts w:cstheme="minorHAnsi"/>
          <w:sz w:val="20"/>
          <w:szCs w:val="20"/>
        </w:rPr>
        <w:t>Recommendations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of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the</w:t>
      </w:r>
      <w:proofErr w:type="spellEnd"/>
      <w:r w:rsidRPr="002B7C51">
        <w:rPr>
          <w:rFonts w:cstheme="minorHAnsi"/>
          <w:sz w:val="20"/>
          <w:szCs w:val="20"/>
        </w:rPr>
        <w:t xml:space="preserve"> ACIP. MMWR 2010;59(No. RR-3):1-12.</w:t>
      </w:r>
    </w:p>
    <w:p w14:paraId="015622A8" w14:textId="77777777" w:rsidR="002D1A2E" w:rsidRDefault="002D1A2E" w:rsidP="002D1A2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2B7C51">
        <w:rPr>
          <w:rFonts w:cstheme="minorHAnsi"/>
          <w:sz w:val="20"/>
          <w:szCs w:val="20"/>
        </w:rPr>
        <w:t>European</w:t>
      </w:r>
      <w:proofErr w:type="spellEnd"/>
      <w:r w:rsidRPr="002B7C51">
        <w:rPr>
          <w:rFonts w:cstheme="minorHAnsi"/>
          <w:sz w:val="20"/>
          <w:szCs w:val="20"/>
        </w:rPr>
        <w:t xml:space="preserve"> Centre </w:t>
      </w:r>
      <w:proofErr w:type="spellStart"/>
      <w:r w:rsidRPr="002B7C51">
        <w:rPr>
          <w:rFonts w:cstheme="minorHAnsi"/>
          <w:sz w:val="20"/>
          <w:szCs w:val="20"/>
        </w:rPr>
        <w:t>for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Disease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Prevention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and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Control</w:t>
      </w:r>
      <w:proofErr w:type="spellEnd"/>
      <w:r w:rsidRPr="002B7C51">
        <w:rPr>
          <w:rFonts w:cstheme="minorHAnsi"/>
          <w:sz w:val="20"/>
          <w:szCs w:val="20"/>
        </w:rPr>
        <w:t xml:space="preserve">. </w:t>
      </w:r>
      <w:proofErr w:type="spellStart"/>
      <w:r w:rsidRPr="002B7C51">
        <w:rPr>
          <w:rFonts w:cstheme="minorHAnsi"/>
          <w:sz w:val="20"/>
          <w:szCs w:val="20"/>
        </w:rPr>
        <w:t>Varicella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vaccination</w:t>
      </w:r>
      <w:proofErr w:type="spellEnd"/>
      <w:r w:rsidRPr="002B7C51">
        <w:rPr>
          <w:rFonts w:cstheme="minorHAnsi"/>
          <w:sz w:val="20"/>
          <w:szCs w:val="20"/>
        </w:rPr>
        <w:t xml:space="preserve"> in </w:t>
      </w:r>
      <w:proofErr w:type="spellStart"/>
      <w:r w:rsidRPr="002B7C51">
        <w:rPr>
          <w:rFonts w:cstheme="minorHAnsi"/>
          <w:sz w:val="20"/>
          <w:szCs w:val="20"/>
        </w:rPr>
        <w:t>the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European</w:t>
      </w:r>
      <w:proofErr w:type="spellEnd"/>
      <w:r w:rsidRPr="002B7C51">
        <w:rPr>
          <w:rFonts w:cstheme="minorHAnsi"/>
          <w:sz w:val="20"/>
          <w:szCs w:val="20"/>
        </w:rPr>
        <w:t xml:space="preserve"> Union. Stockholm: ECDC; 2015.</w:t>
      </w:r>
    </w:p>
    <w:p w14:paraId="607C309D" w14:textId="77777777" w:rsidR="00E765C1" w:rsidRPr="00E765C1" w:rsidRDefault="00E765C1" w:rsidP="00E765C1">
      <w:pPr>
        <w:pStyle w:val="Odstavekseznam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E765C1">
        <w:rPr>
          <w:rFonts w:cstheme="minorHAnsi"/>
          <w:sz w:val="20"/>
          <w:szCs w:val="20"/>
        </w:rPr>
        <w:t xml:space="preserve">Šinkovec Zorko N, Grgič Vitek M. Epidemiološke značilnosti okužbe z virusom </w:t>
      </w:r>
      <w:proofErr w:type="spellStart"/>
      <w:r w:rsidRPr="00E765C1">
        <w:rPr>
          <w:rFonts w:cstheme="minorHAnsi"/>
          <w:sz w:val="20"/>
          <w:szCs w:val="20"/>
        </w:rPr>
        <w:t>varicella</w:t>
      </w:r>
      <w:proofErr w:type="spellEnd"/>
      <w:r w:rsidRPr="00E765C1">
        <w:rPr>
          <w:rFonts w:cstheme="minorHAnsi"/>
          <w:sz w:val="20"/>
          <w:szCs w:val="20"/>
        </w:rPr>
        <w:t xml:space="preserve"> </w:t>
      </w:r>
      <w:proofErr w:type="spellStart"/>
      <w:r w:rsidRPr="00E765C1">
        <w:rPr>
          <w:rFonts w:cstheme="minorHAnsi"/>
          <w:sz w:val="20"/>
          <w:szCs w:val="20"/>
        </w:rPr>
        <w:t>zoster</w:t>
      </w:r>
      <w:proofErr w:type="spellEnd"/>
      <w:r w:rsidRPr="00E765C1">
        <w:rPr>
          <w:rFonts w:cstheme="minorHAnsi"/>
          <w:sz w:val="20"/>
          <w:szCs w:val="20"/>
        </w:rPr>
        <w:t xml:space="preserve"> ter cepljenje proti noricam in pasovcu v Sloveniji. In: Matičič M, Rožič M </w:t>
      </w:r>
      <w:proofErr w:type="spellStart"/>
      <w:r w:rsidRPr="00E765C1">
        <w:rPr>
          <w:rFonts w:cstheme="minorHAnsi"/>
          <w:sz w:val="20"/>
          <w:szCs w:val="20"/>
        </w:rPr>
        <w:t>eds</w:t>
      </w:r>
      <w:proofErr w:type="spellEnd"/>
      <w:r w:rsidRPr="00E765C1">
        <w:rPr>
          <w:rFonts w:cstheme="minorHAnsi"/>
          <w:sz w:val="20"/>
          <w:szCs w:val="20"/>
        </w:rPr>
        <w:t xml:space="preserve">. Okužba z virusom </w:t>
      </w:r>
      <w:proofErr w:type="spellStart"/>
      <w:r w:rsidRPr="00E765C1">
        <w:rPr>
          <w:rFonts w:cstheme="minorHAnsi"/>
          <w:sz w:val="20"/>
          <w:szCs w:val="20"/>
        </w:rPr>
        <w:t>varičele</w:t>
      </w:r>
      <w:proofErr w:type="spellEnd"/>
      <w:r w:rsidRPr="00E765C1">
        <w:rPr>
          <w:rFonts w:cstheme="minorHAnsi"/>
          <w:sz w:val="20"/>
          <w:szCs w:val="20"/>
        </w:rPr>
        <w:t xml:space="preserve"> </w:t>
      </w:r>
      <w:proofErr w:type="spellStart"/>
      <w:r w:rsidRPr="00E765C1">
        <w:rPr>
          <w:rFonts w:cstheme="minorHAnsi"/>
          <w:sz w:val="20"/>
          <w:szCs w:val="20"/>
        </w:rPr>
        <w:t>zostra</w:t>
      </w:r>
      <w:proofErr w:type="spellEnd"/>
      <w:r w:rsidRPr="00E765C1">
        <w:rPr>
          <w:rFonts w:cstheme="minorHAnsi"/>
          <w:sz w:val="20"/>
          <w:szCs w:val="20"/>
        </w:rPr>
        <w:t xml:space="preserve"> in njeno preprečevanje: strokovno izobraževanje. Ljubljana: Združenje za infektologijo pri SZD, 2022.</w:t>
      </w:r>
    </w:p>
    <w:p w14:paraId="1761EFF9" w14:textId="77777777" w:rsidR="005C36FC" w:rsidRPr="002B7C51" w:rsidRDefault="005C36FC" w:rsidP="005C36FC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B7C51">
        <w:rPr>
          <w:rFonts w:cstheme="minorHAnsi"/>
          <w:sz w:val="20"/>
          <w:szCs w:val="20"/>
        </w:rPr>
        <w:t xml:space="preserve">Ahčan J, Čižman M, Pleterski-Rigler D, Radešček-Rakar R. Bolnišnično zdravljenje noric. Zdrav </w:t>
      </w:r>
      <w:proofErr w:type="spellStart"/>
      <w:r w:rsidRPr="002B7C51">
        <w:rPr>
          <w:rFonts w:cstheme="minorHAnsi"/>
          <w:sz w:val="20"/>
          <w:szCs w:val="20"/>
        </w:rPr>
        <w:t>Vestn</w:t>
      </w:r>
      <w:proofErr w:type="spellEnd"/>
      <w:r w:rsidRPr="002B7C51">
        <w:rPr>
          <w:rFonts w:cstheme="minorHAnsi"/>
          <w:sz w:val="20"/>
          <w:szCs w:val="20"/>
        </w:rPr>
        <w:t>. 2002; 71: 621–7.</w:t>
      </w:r>
    </w:p>
    <w:p w14:paraId="233FE8D8" w14:textId="77777777" w:rsidR="00D33371" w:rsidRPr="002B7C51" w:rsidRDefault="00D33371" w:rsidP="00D33371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B7C51">
        <w:rPr>
          <w:rFonts w:cstheme="minorHAnsi"/>
          <w:sz w:val="20"/>
          <w:szCs w:val="20"/>
        </w:rPr>
        <w:t xml:space="preserve">Sočan M, Novak-Mlakar D, Ogrin Rehberger P. Pasavec - dostopni epidemiološki podatki v Sloveniji. Zdrav </w:t>
      </w:r>
      <w:proofErr w:type="spellStart"/>
      <w:r w:rsidRPr="002B7C51">
        <w:rPr>
          <w:rFonts w:cstheme="minorHAnsi"/>
          <w:sz w:val="20"/>
          <w:szCs w:val="20"/>
        </w:rPr>
        <w:t>Vestn</w:t>
      </w:r>
      <w:proofErr w:type="spellEnd"/>
      <w:r w:rsidRPr="002B7C51">
        <w:rPr>
          <w:rFonts w:cstheme="minorHAnsi"/>
          <w:sz w:val="20"/>
          <w:szCs w:val="20"/>
        </w:rPr>
        <w:t>. 2006; 75 (9): 555–60.</w:t>
      </w:r>
    </w:p>
    <w:p w14:paraId="65D46196" w14:textId="77777777" w:rsidR="004D5199" w:rsidRPr="002B7C51" w:rsidRDefault="00274E50" w:rsidP="004D5199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B7C51">
        <w:rPr>
          <w:rFonts w:cstheme="minorHAnsi"/>
          <w:sz w:val="20"/>
          <w:szCs w:val="20"/>
        </w:rPr>
        <w:t>Povzet</w:t>
      </w:r>
      <w:r w:rsidR="004D5199" w:rsidRPr="002B7C51">
        <w:rPr>
          <w:rFonts w:cstheme="minorHAnsi"/>
          <w:sz w:val="20"/>
          <w:szCs w:val="20"/>
        </w:rPr>
        <w:t>ek glavnih značilnosti zdravila:</w:t>
      </w:r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="004D5199" w:rsidRPr="002B7C51">
        <w:rPr>
          <w:rFonts w:cstheme="minorHAnsi"/>
          <w:sz w:val="20"/>
          <w:szCs w:val="20"/>
        </w:rPr>
        <w:t>Proquad</w:t>
      </w:r>
      <w:proofErr w:type="spellEnd"/>
      <w:r w:rsidR="004D5199" w:rsidRPr="002B7C51">
        <w:rPr>
          <w:rFonts w:cstheme="minorHAnsi"/>
          <w:sz w:val="20"/>
          <w:szCs w:val="20"/>
        </w:rPr>
        <w:t>. Dostopno na:</w:t>
      </w:r>
    </w:p>
    <w:p w14:paraId="1FB09D66" w14:textId="77777777" w:rsidR="00274E50" w:rsidRPr="002B7C51" w:rsidRDefault="004D5199" w:rsidP="004D5199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hyperlink r:id="rId8" w:history="1">
        <w:r w:rsidRPr="002B7C51">
          <w:rPr>
            <w:rStyle w:val="Hiperpovezava"/>
            <w:rFonts w:cstheme="minorHAnsi"/>
            <w:sz w:val="20"/>
            <w:szCs w:val="20"/>
          </w:rPr>
          <w:t>https://www.ema.europa.eu/en/medicines/human/EPAR/proquad</w:t>
        </w:r>
      </w:hyperlink>
      <w:r w:rsidRPr="002B7C51">
        <w:rPr>
          <w:rFonts w:cstheme="minorHAnsi"/>
          <w:sz w:val="20"/>
          <w:szCs w:val="20"/>
        </w:rPr>
        <w:t xml:space="preserve"> </w:t>
      </w:r>
    </w:p>
    <w:p w14:paraId="559306BA" w14:textId="77777777" w:rsidR="00281A7D" w:rsidRDefault="00281A7D" w:rsidP="00281A7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CDC. </w:t>
      </w:r>
      <w:proofErr w:type="spellStart"/>
      <w:r>
        <w:rPr>
          <w:rFonts w:cstheme="minorHAnsi"/>
          <w:sz w:val="20"/>
          <w:szCs w:val="20"/>
        </w:rPr>
        <w:t>Chickenpox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Vaccine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Information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Statement</w:t>
      </w:r>
      <w:proofErr w:type="spellEnd"/>
      <w:r>
        <w:rPr>
          <w:rFonts w:cstheme="minorHAnsi"/>
          <w:sz w:val="20"/>
          <w:szCs w:val="20"/>
        </w:rPr>
        <w:t xml:space="preserve">. </w:t>
      </w:r>
      <w:hyperlink r:id="rId9" w:history="1">
        <w:r w:rsidRPr="001A29A7">
          <w:rPr>
            <w:rStyle w:val="Hiperpovezava"/>
            <w:rFonts w:cstheme="minorHAnsi"/>
            <w:sz w:val="20"/>
            <w:szCs w:val="20"/>
          </w:rPr>
          <w:t>https://www.cdc.gov/vaccines/hcp/vis/vis-statements/varicella.html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04760203" w14:textId="77777777" w:rsidR="00A556C2" w:rsidRPr="002B7C51" w:rsidRDefault="00D33371" w:rsidP="00704F9E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sz w:val="20"/>
          <w:szCs w:val="20"/>
        </w:rPr>
      </w:pPr>
      <w:r w:rsidRPr="002B7C51">
        <w:rPr>
          <w:rFonts w:cstheme="minorHAnsi"/>
          <w:sz w:val="20"/>
          <w:szCs w:val="20"/>
        </w:rPr>
        <w:t xml:space="preserve">WHO. </w:t>
      </w:r>
      <w:proofErr w:type="spellStart"/>
      <w:r w:rsidRPr="002B7C51">
        <w:rPr>
          <w:rFonts w:cstheme="minorHAnsi"/>
          <w:sz w:val="20"/>
          <w:szCs w:val="20"/>
        </w:rPr>
        <w:t>Varicella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and</w:t>
      </w:r>
      <w:proofErr w:type="spellEnd"/>
      <w:r w:rsidRPr="002B7C51">
        <w:rPr>
          <w:rFonts w:cstheme="minorHAnsi"/>
          <w:sz w:val="20"/>
          <w:szCs w:val="20"/>
        </w:rPr>
        <w:t xml:space="preserve"> herpes </w:t>
      </w:r>
      <w:proofErr w:type="spellStart"/>
      <w:r w:rsidRPr="002B7C51">
        <w:rPr>
          <w:rFonts w:cstheme="minorHAnsi"/>
          <w:sz w:val="20"/>
          <w:szCs w:val="20"/>
        </w:rPr>
        <w:t>zoster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vaccines</w:t>
      </w:r>
      <w:proofErr w:type="spellEnd"/>
      <w:r w:rsidRPr="002B7C51">
        <w:rPr>
          <w:rFonts w:cstheme="minorHAnsi"/>
          <w:sz w:val="20"/>
          <w:szCs w:val="20"/>
        </w:rPr>
        <w:t xml:space="preserve">: WHO </w:t>
      </w:r>
      <w:proofErr w:type="spellStart"/>
      <w:r w:rsidRPr="002B7C51">
        <w:rPr>
          <w:rFonts w:cstheme="minorHAnsi"/>
          <w:sz w:val="20"/>
          <w:szCs w:val="20"/>
        </w:rPr>
        <w:t>position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paper</w:t>
      </w:r>
      <w:proofErr w:type="spellEnd"/>
      <w:r w:rsidRPr="002B7C51">
        <w:rPr>
          <w:rFonts w:cstheme="minorHAnsi"/>
          <w:sz w:val="20"/>
          <w:szCs w:val="20"/>
        </w:rPr>
        <w:t xml:space="preserve">, </w:t>
      </w:r>
      <w:proofErr w:type="spellStart"/>
      <w:r w:rsidRPr="002B7C51">
        <w:rPr>
          <w:rFonts w:cstheme="minorHAnsi"/>
          <w:sz w:val="20"/>
          <w:szCs w:val="20"/>
        </w:rPr>
        <w:t>June</w:t>
      </w:r>
      <w:proofErr w:type="spellEnd"/>
      <w:r w:rsidRPr="002B7C51">
        <w:rPr>
          <w:rFonts w:cstheme="minorHAnsi"/>
          <w:sz w:val="20"/>
          <w:szCs w:val="20"/>
        </w:rPr>
        <w:t xml:space="preserve"> 2014. </w:t>
      </w:r>
      <w:proofErr w:type="spellStart"/>
      <w:r w:rsidRPr="002B7C51">
        <w:rPr>
          <w:rFonts w:cstheme="minorHAnsi"/>
          <w:sz w:val="20"/>
          <w:szCs w:val="20"/>
        </w:rPr>
        <w:t>Weekly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Epidemiological</w:t>
      </w:r>
      <w:proofErr w:type="spellEnd"/>
      <w:r w:rsidRPr="002B7C51">
        <w:rPr>
          <w:rFonts w:cstheme="minorHAnsi"/>
          <w:sz w:val="20"/>
          <w:szCs w:val="20"/>
        </w:rPr>
        <w:t xml:space="preserve"> </w:t>
      </w:r>
      <w:proofErr w:type="spellStart"/>
      <w:r w:rsidRPr="002B7C51">
        <w:rPr>
          <w:rFonts w:cstheme="minorHAnsi"/>
          <w:sz w:val="20"/>
          <w:szCs w:val="20"/>
        </w:rPr>
        <w:t>Record</w:t>
      </w:r>
      <w:proofErr w:type="spellEnd"/>
      <w:r w:rsidRPr="002B7C51">
        <w:rPr>
          <w:rFonts w:cstheme="minorHAnsi"/>
          <w:sz w:val="20"/>
          <w:szCs w:val="20"/>
        </w:rPr>
        <w:t>. 2014; 89 (25): 265–88.</w:t>
      </w:r>
    </w:p>
    <w:sectPr w:rsidR="00A556C2" w:rsidRPr="002B7C51" w:rsidSect="00EB0A97">
      <w:headerReference w:type="first" r:id="rId10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94100" w14:textId="77777777" w:rsidR="00405845" w:rsidRDefault="00405845" w:rsidP="00EA7A60">
      <w:pPr>
        <w:spacing w:after="0" w:line="240" w:lineRule="auto"/>
      </w:pPr>
      <w:r>
        <w:separator/>
      </w:r>
    </w:p>
  </w:endnote>
  <w:endnote w:type="continuationSeparator" w:id="0">
    <w:p w14:paraId="7113176C" w14:textId="77777777" w:rsidR="00405845" w:rsidRDefault="00405845" w:rsidP="00EA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27E4" w14:textId="77777777" w:rsidR="00405845" w:rsidRDefault="00405845" w:rsidP="00EA7A60">
      <w:pPr>
        <w:spacing w:after="0" w:line="240" w:lineRule="auto"/>
      </w:pPr>
      <w:r>
        <w:separator/>
      </w:r>
    </w:p>
  </w:footnote>
  <w:footnote w:type="continuationSeparator" w:id="0">
    <w:p w14:paraId="578F6CD4" w14:textId="77777777" w:rsidR="00405845" w:rsidRDefault="00405845" w:rsidP="00EA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2353" w14:textId="77777777" w:rsidR="00EB0A97" w:rsidRDefault="00EA7A60" w:rsidP="002B7C51">
    <w:pPr>
      <w:pStyle w:val="Glava"/>
      <w:tabs>
        <w:tab w:val="clear" w:pos="4536"/>
        <w:tab w:val="clear" w:pos="9072"/>
        <w:tab w:val="left" w:pos="5595"/>
      </w:tabs>
    </w:pPr>
    <w:r w:rsidRPr="00F12FA4">
      <w:rPr>
        <w:rFonts w:cstheme="minorHAnsi"/>
        <w:noProof/>
        <w:lang w:eastAsia="sl-SI"/>
      </w:rPr>
      <w:drawing>
        <wp:anchor distT="0" distB="0" distL="114300" distR="114300" simplePos="0" relativeHeight="251658240" behindDoc="0" locked="0" layoutInCell="1" allowOverlap="1" wp14:anchorId="563F9DDD" wp14:editId="6197FA87">
          <wp:simplePos x="0" y="0"/>
          <wp:positionH relativeFrom="column">
            <wp:posOffset>-4445</wp:posOffset>
          </wp:positionH>
          <wp:positionV relativeFrom="paragraph">
            <wp:posOffset>-201930</wp:posOffset>
          </wp:positionV>
          <wp:extent cx="2246400" cy="756000"/>
          <wp:effectExtent l="0" t="0" r="1905" b="635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C51">
      <w:tab/>
    </w:r>
    <w:r w:rsidR="002B7C51">
      <w:tab/>
    </w:r>
    <w:r w:rsidR="002B7C51">
      <w:tab/>
    </w:r>
    <w:r w:rsidR="002B7C51">
      <w:tab/>
    </w:r>
    <w:r w:rsidR="002B7C51">
      <w:tab/>
      <w:t xml:space="preserve">   </w:t>
    </w:r>
  </w:p>
  <w:p w14:paraId="1C94050A" w14:textId="77777777" w:rsidR="00EB0A97" w:rsidRDefault="00EB0A97" w:rsidP="002B7C51">
    <w:pPr>
      <w:pStyle w:val="Glava"/>
      <w:tabs>
        <w:tab w:val="clear" w:pos="4536"/>
        <w:tab w:val="clear" w:pos="9072"/>
        <w:tab w:val="left" w:pos="5595"/>
      </w:tabs>
    </w:pPr>
  </w:p>
  <w:p w14:paraId="75921AF5" w14:textId="77777777" w:rsidR="00EA7A60" w:rsidRDefault="00EB0A97" w:rsidP="002B7C51">
    <w:pPr>
      <w:pStyle w:val="Glava"/>
      <w:tabs>
        <w:tab w:val="clear" w:pos="4536"/>
        <w:tab w:val="clear" w:pos="9072"/>
        <w:tab w:val="left" w:pos="5595"/>
      </w:tabs>
    </w:pPr>
    <w:r>
      <w:t xml:space="preserve">   </w:t>
    </w:r>
    <w:r>
      <w:tab/>
    </w:r>
    <w:r>
      <w:tab/>
    </w:r>
    <w:r>
      <w:tab/>
    </w:r>
    <w:r>
      <w:tab/>
    </w:r>
    <w:r>
      <w:tab/>
      <w:t xml:space="preserve">   </w:t>
    </w:r>
    <w:r w:rsidR="00A34A2B">
      <w:rPr>
        <w:rFonts w:cstheme="minorHAnsi"/>
      </w:rPr>
      <w:t>10</w:t>
    </w:r>
    <w:r w:rsidR="002B7C51" w:rsidRPr="00F12FA4">
      <w:rPr>
        <w:rFonts w:cstheme="minorHAnsi"/>
      </w:rPr>
      <w:t xml:space="preserve">. </w:t>
    </w:r>
    <w:r w:rsidR="002B7C51">
      <w:rPr>
        <w:rFonts w:cstheme="minorHAnsi"/>
      </w:rPr>
      <w:t>12</w:t>
    </w:r>
    <w:r w:rsidR="002B7C51" w:rsidRPr="00F12FA4">
      <w:rPr>
        <w:rFonts w:cstheme="minorHAnsi"/>
      </w:rPr>
      <w:t>. 20</w:t>
    </w:r>
    <w:r w:rsidR="002B7C51">
      <w:rPr>
        <w:rFonts w:cstheme="minorHAnsi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158B0"/>
    <w:multiLevelType w:val="hybridMultilevel"/>
    <w:tmpl w:val="37E25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306E"/>
    <w:multiLevelType w:val="hybridMultilevel"/>
    <w:tmpl w:val="7A4C29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D6BB8"/>
    <w:multiLevelType w:val="hybridMultilevel"/>
    <w:tmpl w:val="25AED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73A28"/>
    <w:multiLevelType w:val="hybridMultilevel"/>
    <w:tmpl w:val="C4F469A0"/>
    <w:lvl w:ilvl="0" w:tplc="150CC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6105"/>
    <w:multiLevelType w:val="hybridMultilevel"/>
    <w:tmpl w:val="27845D24"/>
    <w:lvl w:ilvl="0" w:tplc="813653D2">
      <w:start w:val="1"/>
      <w:numFmt w:val="bullet"/>
      <w:suff w:val="space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43E72"/>
    <w:multiLevelType w:val="hybridMultilevel"/>
    <w:tmpl w:val="9E22F004"/>
    <w:lvl w:ilvl="0" w:tplc="969425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63AD4"/>
    <w:multiLevelType w:val="hybridMultilevel"/>
    <w:tmpl w:val="3D1E3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50651"/>
    <w:multiLevelType w:val="hybridMultilevel"/>
    <w:tmpl w:val="CD305A04"/>
    <w:lvl w:ilvl="0" w:tplc="91D4E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2502">
    <w:abstractNumId w:val="6"/>
  </w:num>
  <w:num w:numId="2" w16cid:durableId="714163047">
    <w:abstractNumId w:val="1"/>
  </w:num>
  <w:num w:numId="3" w16cid:durableId="1139152541">
    <w:abstractNumId w:val="0"/>
  </w:num>
  <w:num w:numId="4" w16cid:durableId="1353415565">
    <w:abstractNumId w:val="7"/>
  </w:num>
  <w:num w:numId="5" w16cid:durableId="1986273241">
    <w:abstractNumId w:val="4"/>
  </w:num>
  <w:num w:numId="6" w16cid:durableId="545988794">
    <w:abstractNumId w:val="3"/>
  </w:num>
  <w:num w:numId="7" w16cid:durableId="104929418">
    <w:abstractNumId w:val="2"/>
  </w:num>
  <w:num w:numId="8" w16cid:durableId="1507670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15"/>
    <w:rsid w:val="00015F21"/>
    <w:rsid w:val="0002783F"/>
    <w:rsid w:val="0005242A"/>
    <w:rsid w:val="0005256B"/>
    <w:rsid w:val="000626E1"/>
    <w:rsid w:val="000667D3"/>
    <w:rsid w:val="000677E4"/>
    <w:rsid w:val="00070A0F"/>
    <w:rsid w:val="00087133"/>
    <w:rsid w:val="000D0515"/>
    <w:rsid w:val="000D29A2"/>
    <w:rsid w:val="000F4168"/>
    <w:rsid w:val="000F60FF"/>
    <w:rsid w:val="000F66CE"/>
    <w:rsid w:val="00106DAD"/>
    <w:rsid w:val="00134BEA"/>
    <w:rsid w:val="00137B21"/>
    <w:rsid w:val="00140FE3"/>
    <w:rsid w:val="00144276"/>
    <w:rsid w:val="001741BC"/>
    <w:rsid w:val="001978D4"/>
    <w:rsid w:val="001A1A21"/>
    <w:rsid w:val="001A7467"/>
    <w:rsid w:val="001E469A"/>
    <w:rsid w:val="001E516F"/>
    <w:rsid w:val="001F4C84"/>
    <w:rsid w:val="0022288A"/>
    <w:rsid w:val="002717A7"/>
    <w:rsid w:val="0027466D"/>
    <w:rsid w:val="00274E50"/>
    <w:rsid w:val="00275094"/>
    <w:rsid w:val="0028193B"/>
    <w:rsid w:val="00281A7D"/>
    <w:rsid w:val="002863CB"/>
    <w:rsid w:val="002B7C51"/>
    <w:rsid w:val="002C65D1"/>
    <w:rsid w:val="002D1A2E"/>
    <w:rsid w:val="002D506F"/>
    <w:rsid w:val="002E624F"/>
    <w:rsid w:val="002F3FA6"/>
    <w:rsid w:val="002F655C"/>
    <w:rsid w:val="003106D1"/>
    <w:rsid w:val="00314088"/>
    <w:rsid w:val="00314C46"/>
    <w:rsid w:val="00331102"/>
    <w:rsid w:val="003524C0"/>
    <w:rsid w:val="003821F9"/>
    <w:rsid w:val="00387FD0"/>
    <w:rsid w:val="003B23A6"/>
    <w:rsid w:val="003B79B0"/>
    <w:rsid w:val="003E41B3"/>
    <w:rsid w:val="003E4830"/>
    <w:rsid w:val="003F4D17"/>
    <w:rsid w:val="00405845"/>
    <w:rsid w:val="00416347"/>
    <w:rsid w:val="00432320"/>
    <w:rsid w:val="004736B2"/>
    <w:rsid w:val="00475A4B"/>
    <w:rsid w:val="0048398A"/>
    <w:rsid w:val="00492E80"/>
    <w:rsid w:val="00497C14"/>
    <w:rsid w:val="004A55CB"/>
    <w:rsid w:val="004A5C2D"/>
    <w:rsid w:val="004B67F5"/>
    <w:rsid w:val="004D5199"/>
    <w:rsid w:val="004E755F"/>
    <w:rsid w:val="004F0E6B"/>
    <w:rsid w:val="004F2347"/>
    <w:rsid w:val="005176AB"/>
    <w:rsid w:val="0055796D"/>
    <w:rsid w:val="00570C79"/>
    <w:rsid w:val="005A32B9"/>
    <w:rsid w:val="005B1134"/>
    <w:rsid w:val="005B70A5"/>
    <w:rsid w:val="005C2B0B"/>
    <w:rsid w:val="005C36FC"/>
    <w:rsid w:val="005E3AE8"/>
    <w:rsid w:val="005E78EB"/>
    <w:rsid w:val="006003A0"/>
    <w:rsid w:val="0061559C"/>
    <w:rsid w:val="00643C9E"/>
    <w:rsid w:val="00652B20"/>
    <w:rsid w:val="006543C6"/>
    <w:rsid w:val="00684938"/>
    <w:rsid w:val="00697700"/>
    <w:rsid w:val="00704F9E"/>
    <w:rsid w:val="00722427"/>
    <w:rsid w:val="00725B45"/>
    <w:rsid w:val="0073016D"/>
    <w:rsid w:val="00735B88"/>
    <w:rsid w:val="00745BED"/>
    <w:rsid w:val="00751E8A"/>
    <w:rsid w:val="00760C59"/>
    <w:rsid w:val="00771CD6"/>
    <w:rsid w:val="0077682B"/>
    <w:rsid w:val="0078290E"/>
    <w:rsid w:val="00791044"/>
    <w:rsid w:val="007C4FEF"/>
    <w:rsid w:val="007F3E4C"/>
    <w:rsid w:val="00801DB8"/>
    <w:rsid w:val="00804AC6"/>
    <w:rsid w:val="00844515"/>
    <w:rsid w:val="00853C73"/>
    <w:rsid w:val="00854DAD"/>
    <w:rsid w:val="00880075"/>
    <w:rsid w:val="008943CB"/>
    <w:rsid w:val="008C1527"/>
    <w:rsid w:val="008F4169"/>
    <w:rsid w:val="00914C38"/>
    <w:rsid w:val="00916831"/>
    <w:rsid w:val="00916C41"/>
    <w:rsid w:val="009401F9"/>
    <w:rsid w:val="00967992"/>
    <w:rsid w:val="00976C23"/>
    <w:rsid w:val="0098464F"/>
    <w:rsid w:val="00995259"/>
    <w:rsid w:val="009A178C"/>
    <w:rsid w:val="009A5FC2"/>
    <w:rsid w:val="009B5733"/>
    <w:rsid w:val="009E3336"/>
    <w:rsid w:val="00A041A5"/>
    <w:rsid w:val="00A34A2B"/>
    <w:rsid w:val="00A36B93"/>
    <w:rsid w:val="00A5239B"/>
    <w:rsid w:val="00A556C2"/>
    <w:rsid w:val="00A57654"/>
    <w:rsid w:val="00A672B8"/>
    <w:rsid w:val="00A952F3"/>
    <w:rsid w:val="00AB1073"/>
    <w:rsid w:val="00AE277B"/>
    <w:rsid w:val="00AE47BB"/>
    <w:rsid w:val="00B032B7"/>
    <w:rsid w:val="00B14EA8"/>
    <w:rsid w:val="00B32384"/>
    <w:rsid w:val="00B7056D"/>
    <w:rsid w:val="00B8470C"/>
    <w:rsid w:val="00B91119"/>
    <w:rsid w:val="00B9322D"/>
    <w:rsid w:val="00B937CE"/>
    <w:rsid w:val="00BA2985"/>
    <w:rsid w:val="00BB0955"/>
    <w:rsid w:val="00BD2FC2"/>
    <w:rsid w:val="00BF2BCC"/>
    <w:rsid w:val="00C216D7"/>
    <w:rsid w:val="00C45205"/>
    <w:rsid w:val="00C537D9"/>
    <w:rsid w:val="00C70C56"/>
    <w:rsid w:val="00C71909"/>
    <w:rsid w:val="00C82A3A"/>
    <w:rsid w:val="00CA021D"/>
    <w:rsid w:val="00CA3318"/>
    <w:rsid w:val="00CB5A7D"/>
    <w:rsid w:val="00CE79DD"/>
    <w:rsid w:val="00CF2379"/>
    <w:rsid w:val="00D21464"/>
    <w:rsid w:val="00D21E71"/>
    <w:rsid w:val="00D238B6"/>
    <w:rsid w:val="00D307EC"/>
    <w:rsid w:val="00D33371"/>
    <w:rsid w:val="00D37940"/>
    <w:rsid w:val="00D56085"/>
    <w:rsid w:val="00D6248D"/>
    <w:rsid w:val="00D718A1"/>
    <w:rsid w:val="00D767CC"/>
    <w:rsid w:val="00D90667"/>
    <w:rsid w:val="00D91449"/>
    <w:rsid w:val="00D93FF2"/>
    <w:rsid w:val="00DB1CD3"/>
    <w:rsid w:val="00DC6594"/>
    <w:rsid w:val="00DD3589"/>
    <w:rsid w:val="00E076D7"/>
    <w:rsid w:val="00E1108E"/>
    <w:rsid w:val="00E351F5"/>
    <w:rsid w:val="00E356EB"/>
    <w:rsid w:val="00E36A3B"/>
    <w:rsid w:val="00E756FD"/>
    <w:rsid w:val="00E76440"/>
    <w:rsid w:val="00E765C1"/>
    <w:rsid w:val="00E84A97"/>
    <w:rsid w:val="00EA7A60"/>
    <w:rsid w:val="00EB06AE"/>
    <w:rsid w:val="00EB0A97"/>
    <w:rsid w:val="00EB1496"/>
    <w:rsid w:val="00EB69E7"/>
    <w:rsid w:val="00ED32F6"/>
    <w:rsid w:val="00ED608B"/>
    <w:rsid w:val="00ED6575"/>
    <w:rsid w:val="00EF0F42"/>
    <w:rsid w:val="00F047BE"/>
    <w:rsid w:val="00F1052B"/>
    <w:rsid w:val="00F12FA4"/>
    <w:rsid w:val="00F17DD5"/>
    <w:rsid w:val="00F42D62"/>
    <w:rsid w:val="00F43D08"/>
    <w:rsid w:val="00F504BF"/>
    <w:rsid w:val="00F818DB"/>
    <w:rsid w:val="00F95D37"/>
    <w:rsid w:val="00FA46AE"/>
    <w:rsid w:val="00FB7752"/>
    <w:rsid w:val="00FC6497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DA89F"/>
  <w15:chartTrackingRefBased/>
  <w15:docId w15:val="{29613F65-7667-48C2-80F1-A8A47E18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05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1CD6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avaden"/>
    <w:rsid w:val="00B032B7"/>
    <w:pPr>
      <w:spacing w:line="240" w:lineRule="exact"/>
      <w:jc w:val="both"/>
    </w:pPr>
    <w:rPr>
      <w:rFonts w:ascii="Tahoma" w:eastAsia="Times New Roman" w:hAnsi="Tahoma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FB77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775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775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77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B7752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43D08"/>
    <w:rPr>
      <w:color w:val="0563C1" w:themeColor="hyperlink"/>
      <w:u w:val="single"/>
    </w:rPr>
  </w:style>
  <w:style w:type="paragraph" w:customStyle="1" w:styleId="ZnakZnak1">
    <w:name w:val="Znak Znak1"/>
    <w:basedOn w:val="Navaden"/>
    <w:rsid w:val="008C1527"/>
    <w:pPr>
      <w:spacing w:line="240" w:lineRule="exact"/>
      <w:jc w:val="both"/>
    </w:pPr>
    <w:rPr>
      <w:rFonts w:ascii="Tahoma" w:eastAsia="Times New Roman" w:hAnsi="Tahoma" w:cs="Times New Roman"/>
      <w:sz w:val="20"/>
      <w:szCs w:val="24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052B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176A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A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7A60"/>
  </w:style>
  <w:style w:type="paragraph" w:styleId="Noga">
    <w:name w:val="footer"/>
    <w:basedOn w:val="Navaden"/>
    <w:link w:val="NogaZnak"/>
    <w:uiPriority w:val="99"/>
    <w:unhideWhenUsed/>
    <w:rsid w:val="00EA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proqu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hcp/vis/vis-statements/varicel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F927CE-C220-4248-84E3-B98F3C47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Sinkovec</dc:creator>
  <cp:keywords/>
  <dc:description/>
  <cp:lastModifiedBy>Maja Filipič</cp:lastModifiedBy>
  <cp:revision>2</cp:revision>
  <cp:lastPrinted>2024-12-04T09:42:00Z</cp:lastPrinted>
  <dcterms:created xsi:type="dcterms:W3CDTF">2025-01-07T08:51:00Z</dcterms:created>
  <dcterms:modified xsi:type="dcterms:W3CDTF">2025-01-07T08:51:00Z</dcterms:modified>
</cp:coreProperties>
</file>